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7D8F0F3D" w:rsidR="00F110CD" w:rsidRPr="00843499" w:rsidRDefault="00F110CD" w:rsidP="769EAAC9">
      <w:pPr>
        <w:pStyle w:val="Header"/>
        <w:tabs>
          <w:tab w:val="right" w:pos="9639"/>
        </w:tabs>
        <w:rPr>
          <w:noProof w:val="0"/>
          <w:sz w:val="24"/>
          <w:szCs w:val="24"/>
          <w:lang w:val="de-DE"/>
        </w:rPr>
      </w:pPr>
      <w:bookmarkStart w:id="0" w:name="_Hlk37418177"/>
      <w:r w:rsidRPr="769EAAC9">
        <w:rPr>
          <w:noProof w:val="0"/>
          <w:sz w:val="24"/>
          <w:szCs w:val="24"/>
          <w:lang w:val="de-DE"/>
        </w:rPr>
        <w:t>3GPP TSG RA</w:t>
      </w:r>
      <w:r w:rsidR="00BA1872" w:rsidRPr="769EAAC9">
        <w:rPr>
          <w:noProof w:val="0"/>
          <w:sz w:val="24"/>
          <w:szCs w:val="24"/>
          <w:lang w:val="de-DE"/>
        </w:rPr>
        <w:t xml:space="preserve">N WG1 </w:t>
      </w:r>
      <w:r w:rsidR="00B65452" w:rsidRPr="769EAAC9">
        <w:rPr>
          <w:noProof w:val="0"/>
          <w:sz w:val="24"/>
          <w:szCs w:val="24"/>
          <w:lang w:val="de-DE"/>
        </w:rPr>
        <w:t>#</w:t>
      </w:r>
      <w:r w:rsidR="00191E79" w:rsidRPr="769EAAC9">
        <w:rPr>
          <w:noProof w:val="0"/>
          <w:sz w:val="24"/>
          <w:szCs w:val="24"/>
          <w:lang w:val="de-DE"/>
        </w:rPr>
        <w:t>10</w:t>
      </w:r>
      <w:r w:rsidR="00FA77A9">
        <w:rPr>
          <w:noProof w:val="0"/>
          <w:sz w:val="24"/>
          <w:szCs w:val="24"/>
          <w:lang w:val="de-DE"/>
        </w:rPr>
        <w:t>5</w:t>
      </w:r>
      <w:r w:rsidR="19F2870D" w:rsidRPr="769EAAC9">
        <w:rPr>
          <w:noProof w:val="0"/>
          <w:sz w:val="24"/>
          <w:szCs w:val="24"/>
          <w:lang w:val="de-DE"/>
        </w:rPr>
        <w:t>-e</w:t>
      </w:r>
      <w:r>
        <w:tab/>
      </w:r>
      <w:r w:rsidR="0059274D" w:rsidRPr="769EAAC9">
        <w:rPr>
          <w:noProof w:val="0"/>
          <w:sz w:val="24"/>
          <w:szCs w:val="24"/>
          <w:lang w:val="de-DE"/>
        </w:rPr>
        <w:t>R1-210</w:t>
      </w:r>
      <w:r w:rsidR="000B36F7">
        <w:rPr>
          <w:noProof w:val="0"/>
          <w:sz w:val="24"/>
          <w:szCs w:val="24"/>
          <w:lang w:val="de-DE"/>
        </w:rPr>
        <w:t>4298</w:t>
      </w:r>
    </w:p>
    <w:p w14:paraId="30E02940" w14:textId="2D09FAE4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 xml:space="preserve">e-Meeting, </w:t>
      </w:r>
      <w:r w:rsidR="009E0974">
        <w:rPr>
          <w:bCs/>
          <w:noProof w:val="0"/>
          <w:sz w:val="24"/>
          <w:szCs w:val="24"/>
        </w:rPr>
        <w:t>May 1</w:t>
      </w:r>
      <w:r w:rsidR="00F87BA6">
        <w:rPr>
          <w:bCs/>
          <w:noProof w:val="0"/>
          <w:sz w:val="24"/>
          <w:szCs w:val="24"/>
        </w:rPr>
        <w:t>0</w:t>
      </w:r>
      <w:r w:rsidR="009E0974" w:rsidRPr="009E0974">
        <w:rPr>
          <w:bCs/>
          <w:noProof w:val="0"/>
          <w:sz w:val="24"/>
          <w:szCs w:val="24"/>
          <w:vertAlign w:val="superscript"/>
        </w:rPr>
        <w:t>th</w:t>
      </w:r>
      <w:r w:rsidR="009E0974">
        <w:rPr>
          <w:bCs/>
          <w:noProof w:val="0"/>
          <w:sz w:val="24"/>
          <w:szCs w:val="24"/>
        </w:rPr>
        <w:t xml:space="preserve"> </w:t>
      </w:r>
      <w:r w:rsidR="004B4898">
        <w:rPr>
          <w:bCs/>
          <w:noProof w:val="0"/>
          <w:sz w:val="24"/>
          <w:szCs w:val="24"/>
        </w:rPr>
        <w:t xml:space="preserve">– </w:t>
      </w:r>
      <w:r w:rsidR="009E0974">
        <w:rPr>
          <w:bCs/>
          <w:noProof w:val="0"/>
          <w:sz w:val="24"/>
          <w:szCs w:val="24"/>
        </w:rPr>
        <w:t>27</w:t>
      </w:r>
      <w:r w:rsidR="004B4898" w:rsidRPr="004B4898">
        <w:rPr>
          <w:bCs/>
          <w:noProof w:val="0"/>
          <w:sz w:val="24"/>
          <w:szCs w:val="24"/>
          <w:vertAlign w:val="superscript"/>
        </w:rPr>
        <w:t>th</w:t>
      </w:r>
      <w:r w:rsidR="004B4898">
        <w:rPr>
          <w:bCs/>
          <w:noProof w:val="0"/>
          <w:sz w:val="24"/>
          <w:szCs w:val="24"/>
        </w:rPr>
        <w:t>, 2021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DEC835F" w14:textId="2B7CA74B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  <w:szCs w:val="24"/>
        </w:rPr>
        <w:tab/>
        <w:t xml:space="preserve">[DRAFT] </w:t>
      </w:r>
      <w:r>
        <w:rPr>
          <w:rFonts w:ascii="Arial" w:hAnsi="Arial" w:cs="Arial"/>
          <w:sz w:val="24"/>
          <w:szCs w:val="24"/>
        </w:rPr>
        <w:t>Reply LS on SL DRX design</w:t>
      </w:r>
    </w:p>
    <w:p w14:paraId="682AA1DD" w14:textId="2EF220C2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E0974">
        <w:rPr>
          <w:rFonts w:ascii="Arial" w:hAnsi="Arial" w:cs="Arial"/>
          <w:b/>
          <w:bCs/>
          <w:sz w:val="24"/>
          <w:szCs w:val="24"/>
        </w:rPr>
        <w:t>Response to: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>R1-2100021 (R2-2010961)</w:t>
      </w:r>
    </w:p>
    <w:p w14:paraId="19DF8C3E" w14:textId="5A16218E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Release: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Rel-17</w:t>
      </w:r>
    </w:p>
    <w:p w14:paraId="1E122AB7" w14:textId="49AD8030" w:rsidR="009E0974" w:rsidRP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Work Item: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NR_SL_enh-Core</w:t>
      </w:r>
    </w:p>
    <w:p w14:paraId="3A7AF99E" w14:textId="77777777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055A33F3" w14:textId="1EF7178C" w:rsidR="00CD6598" w:rsidRDefault="00CD6598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009E0974">
        <w:rPr>
          <w:rFonts w:ascii="Arial" w:hAnsi="Arial" w:cs="Arial"/>
          <w:sz w:val="24"/>
          <w:szCs w:val="24"/>
        </w:rPr>
        <w:t>Nokia, Nokia Shanghai Bell</w:t>
      </w:r>
      <w:r w:rsidR="009E0974" w:rsidRPr="009E0974">
        <w:rPr>
          <w:rFonts w:ascii="Arial" w:hAnsi="Arial" w:cs="Arial"/>
          <w:sz w:val="24"/>
          <w:szCs w:val="24"/>
        </w:rPr>
        <w:t xml:space="preserve"> [RAN1]</w:t>
      </w:r>
    </w:p>
    <w:p w14:paraId="084F0E49" w14:textId="646414EF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To: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>RAN2</w:t>
      </w:r>
    </w:p>
    <w:p w14:paraId="6E8403B7" w14:textId="15CED94B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Cc:</w:t>
      </w:r>
    </w:p>
    <w:p w14:paraId="3B72DBE7" w14:textId="59E6E16B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Attachments:</w:t>
      </w:r>
    </w:p>
    <w:p w14:paraId="09629A52" w14:textId="5652D525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Contact Person:</w:t>
      </w:r>
    </w:p>
    <w:p w14:paraId="42C7C11C" w14:textId="5B9643CE" w:rsidR="009E0974" w:rsidRP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Name: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30E02944" w14:textId="2532DEF8" w:rsidR="0034111C" w:rsidRDefault="009E0974" w:rsidP="009E0974">
      <w:pPr>
        <w:ind w:firstLine="48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Email Address:</w:t>
      </w:r>
    </w:p>
    <w:p w14:paraId="41DCD846" w14:textId="77777777" w:rsidR="00185830" w:rsidRDefault="00185830" w:rsidP="009E0974">
      <w:pPr>
        <w:rPr>
          <w:b/>
          <w:bCs/>
          <w:sz w:val="24"/>
          <w:szCs w:val="24"/>
        </w:rPr>
      </w:pPr>
    </w:p>
    <w:p w14:paraId="143E1B8C" w14:textId="2FFE179E" w:rsidR="00185830" w:rsidRPr="00185830" w:rsidRDefault="00185830" w:rsidP="009E0974">
      <w:pPr>
        <w:rPr>
          <w:b/>
          <w:bCs/>
        </w:rPr>
      </w:pPr>
      <w:r w:rsidRPr="00185830">
        <w:rPr>
          <w:b/>
          <w:bCs/>
          <w:sz w:val="24"/>
          <w:szCs w:val="24"/>
        </w:rPr>
        <w:t>1</w:t>
      </w:r>
      <w:r w:rsidRPr="00185830">
        <w:rPr>
          <w:b/>
          <w:bCs/>
          <w:sz w:val="24"/>
          <w:szCs w:val="24"/>
        </w:rPr>
        <w:tab/>
        <w:t>Overall Description:</w:t>
      </w:r>
    </w:p>
    <w:p w14:paraId="38CC033B" w14:textId="268D4288" w:rsidR="009E0974" w:rsidRDefault="009E0974" w:rsidP="009E0974">
      <w:r>
        <w:t>RAN1 thanks RAN2 for the LS informing RAN1 on sidelink DRX working assumption and related RAN2 agreements. RAN1 would like to confirm RAN2’s working assumption: SL DRX should take PSCCH monitoring also for sensing into account if SL DRX is used.</w:t>
      </w:r>
    </w:p>
    <w:p w14:paraId="234CACE0" w14:textId="1BA87B19" w:rsidR="009E0974" w:rsidRDefault="009E0974" w:rsidP="009E0974">
      <w:r>
        <w:t>Th</w:t>
      </w:r>
      <w:r w:rsidR="0060581F">
        <w:t>r</w:t>
      </w:r>
      <w:r>
        <w:t xml:space="preserve">ough RAN1 discussion, </w:t>
      </w:r>
      <w:r w:rsidR="00185830">
        <w:t>RAN1 reached this agreement:</w:t>
      </w:r>
    </w:p>
    <w:p w14:paraId="56129FAE" w14:textId="676C50EB" w:rsidR="00185830" w:rsidRPr="00185830" w:rsidRDefault="00185830" w:rsidP="009E0974">
      <w:r>
        <w:rPr>
          <w:lang w:eastAsia="x-none"/>
        </w:rPr>
        <w:t>[</w:t>
      </w:r>
      <w:r w:rsidRPr="00185830">
        <w:rPr>
          <w:lang w:eastAsia="x-none"/>
        </w:rPr>
        <w:t>It is up to UE implementation to perform SL reception of PSCCH and RSRP measurement for sensing during its SL DRX inactive time.</w:t>
      </w:r>
      <w:r>
        <w:rPr>
          <w:lang w:eastAsia="x-none"/>
        </w:rPr>
        <w:t>]</w:t>
      </w:r>
    </w:p>
    <w:p w14:paraId="165EB313" w14:textId="77777777" w:rsidR="00185830" w:rsidRDefault="00185830" w:rsidP="009E0974">
      <w:pPr>
        <w:rPr>
          <w:b/>
          <w:bCs/>
          <w:sz w:val="24"/>
          <w:szCs w:val="24"/>
        </w:rPr>
      </w:pPr>
    </w:p>
    <w:p w14:paraId="713FA96B" w14:textId="6749D434" w:rsidR="00185830" w:rsidRPr="00185830" w:rsidRDefault="00185830" w:rsidP="009E0974">
      <w:pPr>
        <w:rPr>
          <w:b/>
          <w:bCs/>
          <w:sz w:val="24"/>
          <w:szCs w:val="24"/>
        </w:rPr>
      </w:pPr>
      <w:r w:rsidRPr="00185830">
        <w:rPr>
          <w:b/>
          <w:bCs/>
          <w:sz w:val="24"/>
          <w:szCs w:val="24"/>
        </w:rPr>
        <w:t>2</w:t>
      </w:r>
      <w:r w:rsidRPr="00185830">
        <w:rPr>
          <w:b/>
          <w:bCs/>
          <w:sz w:val="24"/>
          <w:szCs w:val="24"/>
        </w:rPr>
        <w:tab/>
        <w:t>Actions:</w:t>
      </w:r>
    </w:p>
    <w:p w14:paraId="1B0CFAF5" w14:textId="68C9785B" w:rsidR="00F87BA6" w:rsidRDefault="00185830" w:rsidP="00185830">
      <w:r>
        <w:t>To RAN WG2:</w:t>
      </w:r>
      <w:r>
        <w:tab/>
        <w:t>RAN1 kindly asks RAN</w:t>
      </w:r>
      <w:r w:rsidR="00B875BE">
        <w:t>2</w:t>
      </w:r>
      <w:r>
        <w:t xml:space="preserve"> to take this agreement into account for their future work on SL DRX design.</w:t>
      </w:r>
    </w:p>
    <w:p w14:paraId="58340A3C" w14:textId="77777777" w:rsidR="00185830" w:rsidRDefault="00185830" w:rsidP="00185830"/>
    <w:p w14:paraId="010D6254" w14:textId="55D6EA5F" w:rsidR="009E0974" w:rsidRPr="002D6112" w:rsidRDefault="00185830" w:rsidP="009E0974">
      <w:pPr>
        <w:rPr>
          <w:b/>
          <w:bCs/>
          <w:sz w:val="24"/>
          <w:szCs w:val="24"/>
        </w:rPr>
      </w:pPr>
      <w:r w:rsidRPr="002D6112">
        <w:rPr>
          <w:b/>
          <w:bCs/>
          <w:sz w:val="24"/>
          <w:szCs w:val="24"/>
        </w:rPr>
        <w:t>3. Dates of Next TSG-RAN WG1</w:t>
      </w:r>
    </w:p>
    <w:p w14:paraId="36C87824" w14:textId="43509720" w:rsidR="002D6112" w:rsidRDefault="002D6112" w:rsidP="002D6112">
      <w:r>
        <w:t>TSG RAN WG1 Meeting #106-e</w:t>
      </w:r>
      <w:r>
        <w:tab/>
      </w:r>
      <w:r>
        <w:tab/>
        <w:t xml:space="preserve">16 </w:t>
      </w:r>
      <w:proofErr w:type="gramStart"/>
      <w:r>
        <w:t>August,</w:t>
      </w:r>
      <w:proofErr w:type="gramEnd"/>
      <w:r>
        <w:t xml:space="preserve"> 2021 – 27 August, 2021</w:t>
      </w:r>
      <w:r>
        <w:tab/>
      </w:r>
      <w:r>
        <w:tab/>
      </w:r>
      <w:proofErr w:type="spellStart"/>
      <w:r>
        <w:t>eMeeting</w:t>
      </w:r>
      <w:proofErr w:type="spellEnd"/>
    </w:p>
    <w:p w14:paraId="46869F9B" w14:textId="77777777" w:rsidR="002D6112" w:rsidRPr="00185830" w:rsidRDefault="002D6112" w:rsidP="009E0974"/>
    <w:sectPr w:rsidR="002D6112" w:rsidRPr="0018583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A95A2" w14:textId="77777777" w:rsidR="00234C4A" w:rsidRDefault="00234C4A">
      <w:r>
        <w:separator/>
      </w:r>
    </w:p>
  </w:endnote>
  <w:endnote w:type="continuationSeparator" w:id="0">
    <w:p w14:paraId="1FDE3B62" w14:textId="77777777" w:rsidR="00234C4A" w:rsidRDefault="00234C4A">
      <w:r>
        <w:continuationSeparator/>
      </w:r>
    </w:p>
  </w:endnote>
  <w:endnote w:type="continuationNotice" w:id="1">
    <w:p w14:paraId="25E1BFD6" w14:textId="77777777" w:rsidR="00234C4A" w:rsidRDefault="00234C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D9730" w14:textId="77777777" w:rsidR="00234C4A" w:rsidRDefault="00234C4A">
      <w:r>
        <w:separator/>
      </w:r>
    </w:p>
  </w:footnote>
  <w:footnote w:type="continuationSeparator" w:id="0">
    <w:p w14:paraId="6EC3E8C5" w14:textId="77777777" w:rsidR="00234C4A" w:rsidRDefault="00234C4A">
      <w:r>
        <w:continuationSeparator/>
      </w:r>
    </w:p>
  </w:footnote>
  <w:footnote w:type="continuationNotice" w:id="1">
    <w:p w14:paraId="786E932C" w14:textId="77777777" w:rsidR="00234C4A" w:rsidRDefault="00234C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8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4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6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0"/>
  </w:num>
  <w:num w:numId="2">
    <w:abstractNumId w:val="34"/>
  </w:num>
  <w:num w:numId="3">
    <w:abstractNumId w:val="0"/>
  </w:num>
  <w:num w:numId="4">
    <w:abstractNumId w:val="5"/>
  </w:num>
  <w:num w:numId="5">
    <w:abstractNumId w:val="21"/>
  </w:num>
  <w:num w:numId="6">
    <w:abstractNumId w:val="35"/>
  </w:num>
  <w:num w:numId="7">
    <w:abstractNumId w:val="25"/>
  </w:num>
  <w:num w:numId="8">
    <w:abstractNumId w:val="20"/>
  </w:num>
  <w:num w:numId="9">
    <w:abstractNumId w:val="40"/>
  </w:num>
  <w:num w:numId="10">
    <w:abstractNumId w:val="8"/>
  </w:num>
  <w:num w:numId="11">
    <w:abstractNumId w:val="28"/>
  </w:num>
  <w:num w:numId="12">
    <w:abstractNumId w:val="7"/>
  </w:num>
  <w:num w:numId="13">
    <w:abstractNumId w:val="16"/>
  </w:num>
  <w:num w:numId="14">
    <w:abstractNumId w:val="31"/>
  </w:num>
  <w:num w:numId="15">
    <w:abstractNumId w:val="22"/>
  </w:num>
  <w:num w:numId="16">
    <w:abstractNumId w:val="2"/>
  </w:num>
  <w:num w:numId="17">
    <w:abstractNumId w:val="30"/>
  </w:num>
  <w:num w:numId="18">
    <w:abstractNumId w:val="18"/>
  </w:num>
  <w:num w:numId="19">
    <w:abstractNumId w:val="26"/>
  </w:num>
  <w:num w:numId="20">
    <w:abstractNumId w:val="39"/>
  </w:num>
  <w:num w:numId="21">
    <w:abstractNumId w:val="41"/>
  </w:num>
  <w:num w:numId="22">
    <w:abstractNumId w:val="29"/>
  </w:num>
  <w:num w:numId="23">
    <w:abstractNumId w:val="15"/>
  </w:num>
  <w:num w:numId="24">
    <w:abstractNumId w:val="9"/>
  </w:num>
  <w:num w:numId="25">
    <w:abstractNumId w:val="37"/>
  </w:num>
  <w:num w:numId="26">
    <w:abstractNumId w:val="33"/>
  </w:num>
  <w:num w:numId="27">
    <w:abstractNumId w:val="12"/>
  </w:num>
  <w:num w:numId="28">
    <w:abstractNumId w:val="11"/>
  </w:num>
  <w:num w:numId="29">
    <w:abstractNumId w:val="36"/>
  </w:num>
  <w:num w:numId="30">
    <w:abstractNumId w:val="14"/>
  </w:num>
  <w:num w:numId="31">
    <w:abstractNumId w:val="13"/>
  </w:num>
  <w:num w:numId="32">
    <w:abstractNumId w:val="38"/>
  </w:num>
  <w:num w:numId="33">
    <w:abstractNumId w:val="32"/>
  </w:num>
  <w:num w:numId="34">
    <w:abstractNumId w:val="6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42"/>
  </w:num>
  <w:num w:numId="38">
    <w:abstractNumId w:val="19"/>
  </w:num>
  <w:num w:numId="39">
    <w:abstractNumId w:val="23"/>
  </w:num>
  <w:num w:numId="40">
    <w:abstractNumId w:val="4"/>
  </w:num>
  <w:num w:numId="41">
    <w:abstractNumId w:val="1"/>
  </w:num>
  <w:num w:numId="42">
    <w:abstractNumId w:val="17"/>
  </w:num>
  <w:num w:numId="43">
    <w:abstractNumId w:val="3"/>
  </w:num>
  <w:num w:numId="44">
    <w:abstractNumId w:val="27"/>
  </w:num>
  <w:num w:numId="45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4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32E6"/>
    <w:rsid w:val="00185830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2021-05-12T05:31:00Z</dcterms:created>
  <dcterms:modified xsi:type="dcterms:W3CDTF">2021-05-12T05:33:00Z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